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一：演播软件ARTNET设置</w:t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第一步：打开演播软件，在设置里面找到ARTNET设置</w:t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drawing>
          <wp:inline distT="0" distB="0" distL="114300" distR="114300">
            <wp:extent cx="4526280" cy="3901440"/>
            <wp:effectExtent l="0" t="0" r="0" b="0"/>
            <wp:docPr id="2" name="图片 2" descr="5a317783aec02acd711e2a51e66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317783aec02acd711e2a51e667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第二步：在ARTNET设置配接界面搜索控制器</w:t>
      </w:r>
    </w:p>
    <w:p>
      <w:pP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drawing>
          <wp:inline distT="0" distB="0" distL="114300" distR="114300">
            <wp:extent cx="5266690" cy="3601720"/>
            <wp:effectExtent l="0" t="0" r="6350" b="10160"/>
            <wp:docPr id="3" name="图片 3" descr="d111eded3ebea1e533f162af8028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11eded3ebea1e533f162af80289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第三步：设置控制器的内部参数（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lang w:val="en-US" w:eastAsia="zh-CN"/>
        </w:rPr>
        <w:t>IP,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lang w:val="en-US" w:eastAsia="zh-CN"/>
        </w:rPr>
        <w:t>分控数,芯片型号，时钟，起始空间，通道长度，分控号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），下面有每一项的具体功能介绍。</w:t>
      </w:r>
    </w:p>
    <w:p>
      <w:r>
        <w:drawing>
          <wp:inline distT="0" distB="0" distL="114300" distR="114300">
            <wp:extent cx="5266690" cy="3569970"/>
            <wp:effectExtent l="0" t="0" r="6350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注释: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IP:</w:t>
      </w:r>
      <w:r>
        <w:rPr>
          <w:rFonts w:hint="eastAsia"/>
          <w:sz w:val="24"/>
          <w:szCs w:val="24"/>
          <w:lang w:val="en-US" w:eastAsia="zh-CN"/>
        </w:rPr>
        <w:t>控制器本身的IP，如果多台进交换机，每一台的IP需要改成不一样的。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级联分控数：</w:t>
      </w:r>
      <w:r>
        <w:rPr>
          <w:rFonts w:hint="eastAsia"/>
          <w:sz w:val="24"/>
          <w:szCs w:val="24"/>
          <w:lang w:val="en-US" w:eastAsia="zh-CN"/>
        </w:rPr>
        <w:t>一条线路串联分控的数目。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芯片型号</w:t>
      </w:r>
      <w:r>
        <w:rPr>
          <w:rFonts w:hint="eastAsia"/>
          <w:sz w:val="24"/>
          <w:szCs w:val="24"/>
          <w:lang w:val="en-US" w:eastAsia="zh-CN"/>
        </w:rPr>
        <w:t>：所带灯具的IC型号。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时钟：</w:t>
      </w:r>
      <w:r>
        <w:rPr>
          <w:rFonts w:hint="eastAsia"/>
          <w:sz w:val="24"/>
          <w:szCs w:val="24"/>
          <w:lang w:val="en-US" w:eastAsia="zh-CN"/>
        </w:rPr>
        <w:t>可不设置。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起始空间：</w:t>
      </w:r>
      <w:r>
        <w:rPr>
          <w:rFonts w:hint="eastAsia"/>
          <w:sz w:val="24"/>
          <w:szCs w:val="24"/>
          <w:lang w:val="en-US" w:eastAsia="zh-CN"/>
        </w:rPr>
        <w:t>多台进交换机，每一路的起始数目号。列：IP192.168.1.1线路上带了3台，IP192.168.1.2的起始分控号就是4，IP192.168.1.1的线路上带了2台，那么IP192.168.1.3的起始分控号就是6...........以此类推。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通道长度</w:t>
      </w:r>
      <w:r>
        <w:rPr>
          <w:rFonts w:hint="eastAsia"/>
          <w:sz w:val="24"/>
          <w:szCs w:val="24"/>
          <w:lang w:val="en-US" w:eastAsia="zh-CN"/>
        </w:rPr>
        <w:t>：RGB灯具选510-2040,510就是对应MADRIX一个域，1020就是对应MADRIX俩个域，2040对应MADRIX的就是三个域。RGBW灯具选510-2048，对应域和RGB灯具类似。MADRIX里面的一个域所能带的灯具像素点为</w:t>
      </w:r>
      <w:r>
        <w:rPr>
          <w:rFonts w:hint="eastAsia"/>
          <w:sz w:val="24"/>
          <w:szCs w:val="24"/>
          <w:highlight w:val="red"/>
          <w:lang w:val="en-US" w:eastAsia="zh-CN"/>
        </w:rPr>
        <w:t>170</w:t>
      </w:r>
      <w:r>
        <w:rPr>
          <w:rFonts w:hint="eastAsia"/>
          <w:sz w:val="24"/>
          <w:szCs w:val="24"/>
          <w:lang w:val="en-US" w:eastAsia="zh-CN"/>
        </w:rPr>
        <w:t>像素。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分控号：</w:t>
      </w:r>
      <w:r>
        <w:rPr>
          <w:rFonts w:hint="eastAsia"/>
          <w:sz w:val="24"/>
          <w:szCs w:val="24"/>
          <w:lang w:val="en-US" w:eastAsia="zh-CN"/>
        </w:rPr>
        <w:t>自带就OK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二：MADRIX设置</w:t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MADRIX的使用方法</w:t>
      </w:r>
    </w:p>
    <w:p>
      <w:pPr>
        <w:numPr>
          <w:ilvl w:val="0"/>
          <w:numId w:val="2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 xml:space="preserve">设备连接 </w:t>
      </w:r>
    </w:p>
    <w:p>
      <w:pPr>
        <w:numPr>
          <w:ilvl w:val="0"/>
          <w:numId w:val="0"/>
        </w:numPr>
        <w:ind w:firstLine="540" w:firstLineChars="300"/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1.如下图所示，点击首选项-设备管理器</w:t>
      </w:r>
    </w:p>
    <w:p>
      <w:r>
        <w:drawing>
          <wp:inline distT="0" distB="0" distL="114300" distR="114300">
            <wp:extent cx="5263515" cy="253746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2.点击设备管理器之后弹出以下界面，再点击Art-Net选项，界面如下</w:t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64785" cy="2670175"/>
            <wp:effectExtent l="0" t="0" r="8255" b="12065"/>
            <wp:docPr id="75" name="图片 7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.</w:t>
      </w: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如下图操作所示，点击启用后搜索设备</w:t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69865" cy="2681605"/>
            <wp:effectExtent l="0" t="0" r="3175" b="635"/>
            <wp:docPr id="76" name="图片 7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4.搜索完毕后界面会出现们所连接的设备名称，点击下图所示的位置</w:t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69865" cy="2675890"/>
            <wp:effectExtent l="0" t="0" r="3175" b="6350"/>
            <wp:docPr id="77" name="图片 7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5.点击后弹出以下界面，我们需要全部点亮后选择完成应用并退出。</w:t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73675" cy="2708275"/>
            <wp:effectExtent l="0" t="0" r="14605" b="4445"/>
            <wp:docPr id="78" name="图片 7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73675" cy="2708275"/>
            <wp:effectExtent l="0" t="0" r="14605" b="4445"/>
            <wp:docPr id="79" name="图片 7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  <w:lang w:val="en-US" w:eastAsia="zh-CN"/>
        </w:rPr>
        <w:t>6.退出后再次点击首选项-设备管理器，找到DMX Devies界面，选中所有以我们设备命名的选项后开启同步前同步后点击应用即可，此时我们的设备与MADRIX已经通过ART-NET接，接下来所需要进行的就是地图的配接</w:t>
      </w:r>
    </w:p>
    <w:p>
      <w:pPr>
        <w:numPr>
          <w:ilvl w:val="0"/>
          <w:numId w:val="0"/>
        </w:numPr>
      </w:pP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64150" cy="2681605"/>
            <wp:effectExtent l="0" t="0" r="8890" b="635"/>
            <wp:docPr id="80" name="图片 8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图片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 w:eastAsiaTheme="minorEastAsia"/>
          <w:b w:val="0"/>
          <w:i w:val="0"/>
          <w:caps w:val="0"/>
          <w:color w:val="333333"/>
          <w:spacing w:val="0"/>
          <w:sz w:val="18"/>
          <w:szCs w:val="18"/>
          <w:lang w:eastAsia="zh-CN"/>
        </w:rPr>
        <w:drawing>
          <wp:inline distT="0" distB="0" distL="114300" distR="114300">
            <wp:extent cx="5265420" cy="2681605"/>
            <wp:effectExtent l="0" t="0" r="7620" b="635"/>
            <wp:docPr id="81" name="图片 8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E7D70"/>
    <w:multiLevelType w:val="singleLevel"/>
    <w:tmpl w:val="8D3E7D7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A19D7763"/>
    <w:multiLevelType w:val="singleLevel"/>
    <w:tmpl w:val="A19D776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473B287"/>
    <w:multiLevelType w:val="singleLevel"/>
    <w:tmpl w:val="7473B2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38AC"/>
    <w:rsid w:val="0DE15197"/>
    <w:rsid w:val="11BC3C08"/>
    <w:rsid w:val="21D638AC"/>
    <w:rsid w:val="305874E4"/>
    <w:rsid w:val="3D076ACF"/>
    <w:rsid w:val="708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2019-05-18T02:06:00Z</dcterms:created>
  <dc:creator>我没有温暖丶</dc:creator>
  <cp:lastModifiedBy>一尘不染的真心</cp:lastModifiedBy>
  <dcterms:modified xsi:type="dcterms:W3CDTF">2021-10-16T02:09:31Z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EB8A8DC2315A426587A2E7A9B1C2EB3B</vt:lpwstr>
  </property>
</Properties>
</file>